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Century Gothic" w:cs="Century Gothic" w:hAnsi="Century Gothic" w:eastAsia="Century Gothic"/>
          <w:b w:val="1"/>
          <w:bCs w:val="1"/>
          <w:sz w:val="32"/>
          <w:szCs w:val="32"/>
          <w:u w:val="single"/>
        </w:rPr>
      </w:pPr>
      <w:r>
        <w:rPr>
          <w:rtl w:val="0"/>
        </w:rPr>
        <w:t xml:space="preserve">                                                   </w:t>
      </w:r>
      <w:r>
        <w:rPr>
          <w:rtl w:val="0"/>
          <w:lang w:val="en-US"/>
        </w:rPr>
        <w:t xml:space="preserve">  </w:t>
      </w:r>
      <w:r>
        <w:rPr>
          <w:rtl w:val="0"/>
        </w:rPr>
        <w:t xml:space="preserve"> </w:t>
      </w:r>
      <w:r>
        <w:rPr>
          <w:rtl w:val="0"/>
          <w:lang w:val="en-US"/>
        </w:rPr>
        <w:t xml:space="preserve"> </w:t>
      </w:r>
      <w:r>
        <w:rPr>
          <w:rFonts w:ascii="Century Gothic" w:hAnsi="Century Gothic"/>
          <w:b w:val="1"/>
          <w:bCs w:val="1"/>
          <w:sz w:val="32"/>
          <w:szCs w:val="32"/>
          <w:u w:val="single"/>
          <w:rtl w:val="0"/>
        </w:rPr>
        <w:t>AMIK KIL HA</w:t>
      </w:r>
      <w:r>
        <w:rPr>
          <w:rFonts w:ascii="Century Gothic" w:hAnsi="Century Gothic" w:hint="default"/>
          <w:b w:val="1"/>
          <w:bCs w:val="1"/>
          <w:sz w:val="32"/>
          <w:szCs w:val="32"/>
          <w:u w:val="single"/>
          <w:rtl w:val="0"/>
          <w:lang w:val="en-US"/>
        </w:rPr>
        <w:t>’</w:t>
      </w:r>
    </w:p>
    <w:p>
      <w:pPr>
        <w:pStyle w:val="Body"/>
        <w:rPr>
          <w:rFonts w:ascii="Century Gothic" w:cs="Century Gothic" w:hAnsi="Century Gothic" w:eastAsia="Century Gothic"/>
          <w:b w:val="1"/>
          <w:bCs w:val="1"/>
          <w:sz w:val="28"/>
          <w:szCs w:val="28"/>
          <w:u w:val="single"/>
        </w:rPr>
      </w:pPr>
    </w:p>
    <w:p>
      <w:pPr>
        <w:pStyle w:val="Body"/>
        <w:rPr>
          <w:rFonts w:ascii="Century Gothic" w:cs="Century Gothic" w:hAnsi="Century Gothic" w:eastAsia="Century Gothic"/>
          <w:b w:val="1"/>
          <w:bCs w:val="1"/>
          <w:sz w:val="28"/>
          <w:szCs w:val="28"/>
          <w:u w:val="single"/>
        </w:rPr>
      </w:pPr>
      <w:r>
        <w:rPr>
          <w:rFonts w:ascii="Century Gothic" w:hAnsi="Century Gothic"/>
          <w:b w:val="1"/>
          <w:bCs w:val="1"/>
          <w:sz w:val="28"/>
          <w:szCs w:val="28"/>
          <w:rtl w:val="0"/>
        </w:rPr>
        <w:t xml:space="preserve">                         </w:t>
      </w:r>
      <w:r>
        <w:rPr>
          <w:rFonts w:ascii="Century Gothic" w:hAnsi="Century Gothic"/>
          <w:b w:val="1"/>
          <w:bCs w:val="1"/>
          <w:sz w:val="28"/>
          <w:szCs w:val="28"/>
          <w:rtl w:val="0"/>
          <w:lang w:val="en-US"/>
        </w:rPr>
        <w:t xml:space="preserve">        </w:t>
      </w:r>
      <w:r>
        <w:rPr>
          <w:rFonts w:ascii="Century Gothic" w:hAnsi="Century Gothic"/>
          <w:b w:val="1"/>
          <w:bCs w:val="1"/>
          <w:sz w:val="28"/>
          <w:szCs w:val="28"/>
          <w:u w:val="single"/>
          <w:rtl w:val="0"/>
        </w:rPr>
        <w:t>RESTRICTIVE COVENANTS</w:t>
      </w:r>
    </w:p>
    <w:p>
      <w:pPr>
        <w:pStyle w:val="Body"/>
        <w:rPr>
          <w:rFonts w:ascii="Century Gothic" w:cs="Century Gothic" w:hAnsi="Century Gothic" w:eastAsia="Century Gothic"/>
          <w:u w:val="single"/>
        </w:rPr>
      </w:pPr>
    </w:p>
    <w:p>
      <w:pPr>
        <w:pStyle w:val="Body"/>
        <w:rPr>
          <w:rFonts w:ascii="Century Gothic" w:cs="Century Gothic" w:hAnsi="Century Gothic" w:eastAsia="Century Gothic"/>
          <w:u w:val="single"/>
        </w:rPr>
      </w:pPr>
    </w:p>
    <w:p>
      <w:pPr>
        <w:pStyle w:val="Body"/>
        <w:rPr>
          <w:rFonts w:ascii="Century Gothic" w:cs="Century Gothic" w:hAnsi="Century Gothic" w:eastAsia="Century Gothic"/>
          <w:u w:val="single"/>
        </w:rPr>
      </w:pPr>
      <w:r>
        <w:rPr>
          <w:rFonts w:ascii="Century Gothic" w:hAnsi="Century Gothic"/>
          <w:u w:val="single"/>
          <w:rtl w:val="0"/>
          <w:lang w:val="fr-FR"/>
        </w:rPr>
        <w:t xml:space="preserve">Registration Section                        Block                           Parcel / Lot </w:t>
      </w:r>
    </w:p>
    <w:p>
      <w:pPr>
        <w:pStyle w:val="Body"/>
        <w:rPr>
          <w:rFonts w:ascii="Century Gothic" w:cs="Century Gothic" w:hAnsi="Century Gothic" w:eastAsia="Century Gothic"/>
          <w:u w:val="single"/>
        </w:rPr>
      </w:pPr>
    </w:p>
    <w:p>
      <w:pPr>
        <w:pStyle w:val="Body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s-ES_tradnl"/>
        </w:rPr>
        <w:t xml:space="preserve">Placencia North                                 36                     </w:t>
      </w:r>
      <w:r>
        <w:rPr>
          <w:rFonts w:ascii="Century Gothic" w:hAnsi="Century Gothic"/>
          <w:rtl w:val="0"/>
          <w:lang w:val="en-US"/>
        </w:rPr>
        <w:t xml:space="preserve"> 1208, 1209, 1210, 1211, </w:t>
      </w:r>
    </w:p>
    <w:p>
      <w:pPr>
        <w:pStyle w:val="Body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</w:rPr>
        <w:t xml:space="preserve">                                                                                       1</w:t>
      </w:r>
      <w:r>
        <w:rPr>
          <w:rFonts w:ascii="Century Gothic" w:hAnsi="Century Gothic"/>
          <w:rtl w:val="0"/>
          <w:lang w:val="en-US"/>
        </w:rPr>
        <w:t xml:space="preserve">212, 1214, 1215, 1216, </w:t>
      </w:r>
      <w:r>
        <w:rPr>
          <w:rFonts w:ascii="Century Gothic" w:hAnsi="Century Gothic"/>
          <w:rtl w:val="0"/>
        </w:rPr>
        <w:t xml:space="preserve"> </w:t>
      </w:r>
    </w:p>
    <w:p>
      <w:pPr>
        <w:pStyle w:val="Body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</w:rPr>
        <w:t xml:space="preserve">                                                                                       12</w:t>
      </w:r>
      <w:r>
        <w:rPr>
          <w:rFonts w:ascii="Century Gothic" w:hAnsi="Century Gothic"/>
          <w:rtl w:val="0"/>
          <w:lang w:val="en-US"/>
        </w:rPr>
        <w:t>17, 1218, 1219, 1220,</w:t>
      </w:r>
    </w:p>
    <w:p>
      <w:pPr>
        <w:pStyle w:val="Body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</w:rPr>
        <w:t xml:space="preserve">                                                                                       12</w:t>
      </w:r>
      <w:r>
        <w:rPr>
          <w:rFonts w:ascii="Century Gothic" w:hAnsi="Century Gothic"/>
          <w:rtl w:val="0"/>
          <w:lang w:val="en-US"/>
        </w:rPr>
        <w:t>54, 1255, 1256, 1257,</w:t>
      </w:r>
    </w:p>
    <w:p>
      <w:pPr>
        <w:pStyle w:val="Body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</w:rPr>
        <w:t xml:space="preserve">                                                                                       12</w:t>
      </w:r>
      <w:r>
        <w:rPr>
          <w:rFonts w:ascii="Century Gothic" w:hAnsi="Century Gothic"/>
          <w:rtl w:val="0"/>
          <w:lang w:val="en-US"/>
        </w:rPr>
        <w:t>58, 1260, 1261, 1262,</w:t>
      </w:r>
    </w:p>
    <w:p>
      <w:pPr>
        <w:pStyle w:val="Body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</w:rPr>
        <w:t xml:space="preserve">                                                                                       12</w:t>
      </w:r>
      <w:r>
        <w:rPr>
          <w:rFonts w:ascii="Century Gothic" w:hAnsi="Century Gothic"/>
          <w:rtl w:val="0"/>
          <w:lang w:val="en-US"/>
        </w:rPr>
        <w:t>63, 1264, 1266, 1267,</w:t>
      </w:r>
      <w:r>
        <w:rPr>
          <w:rFonts w:ascii="Century Gothic" w:hAnsi="Century Gothic"/>
          <w:rtl w:val="0"/>
        </w:rPr>
        <w:t xml:space="preserve">       </w:t>
      </w:r>
    </w:p>
    <w:p>
      <w:pPr>
        <w:pStyle w:val="Body"/>
        <w:rPr>
          <w:rFonts w:ascii="Century Gothic" w:cs="Century Gothic" w:hAnsi="Century Gothic" w:eastAsia="Century Gothic"/>
          <w:rtl w:val="0"/>
        </w:rPr>
      </w:pPr>
      <w:r>
        <w:rPr>
          <w:rFonts w:ascii="Century Gothic" w:hAnsi="Century Gothic"/>
          <w:rtl w:val="0"/>
        </w:rPr>
        <w:t xml:space="preserve">                                                                                       12</w:t>
      </w:r>
      <w:r>
        <w:rPr>
          <w:rFonts w:ascii="Century Gothic" w:hAnsi="Century Gothic"/>
          <w:rtl w:val="0"/>
          <w:lang w:val="en-US"/>
        </w:rPr>
        <w:t xml:space="preserve">68, 1269, 1270, </w:t>
      </w:r>
      <w:r>
        <w:rPr>
          <w:rFonts w:ascii="Century Gothic" w:hAnsi="Century Gothic"/>
          <w:rtl w:val="0"/>
        </w:rPr>
        <w:t>127</w:t>
      </w:r>
      <w:r>
        <w:rPr>
          <w:rFonts w:ascii="Century Gothic" w:hAnsi="Century Gothic"/>
          <w:rtl w:val="0"/>
          <w:lang w:val="en-US"/>
        </w:rPr>
        <w:t>1,</w:t>
      </w:r>
    </w:p>
    <w:p>
      <w:pPr>
        <w:pStyle w:val="Body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 xml:space="preserve">                                                                                       1272</w:t>
      </w:r>
    </w:p>
    <w:p>
      <w:pPr>
        <w:pStyle w:val="Body"/>
        <w:rPr>
          <w:rFonts w:ascii="Century Gothic" w:cs="Century Gothic" w:hAnsi="Century Gothic" w:eastAsia="Century Gothic"/>
        </w:rPr>
      </w:pPr>
    </w:p>
    <w:p>
      <w:pPr>
        <w:pStyle w:val="Body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>The restrictive covenants herein contained apply to the Amik Kil Ha</w:t>
      </w:r>
      <w:r>
        <w:rPr>
          <w:rFonts w:ascii="Century Gothic" w:hAnsi="Century Gothic" w:hint="default"/>
          <w:rtl w:val="0"/>
          <w:lang w:val="en-US"/>
        </w:rPr>
        <w:t xml:space="preserve">’ </w:t>
      </w:r>
      <w:r>
        <w:rPr>
          <w:rFonts w:ascii="Century Gothic" w:hAnsi="Century Gothic"/>
          <w:rtl w:val="0"/>
          <w:lang w:val="en-US"/>
        </w:rPr>
        <w:t>subdivision of which the above lots form a part.  The developer is Plantation Palms Limited or any assigns or successors in title.</w:t>
      </w:r>
    </w:p>
    <w:p>
      <w:pPr>
        <w:pStyle w:val="Body"/>
        <w:rPr>
          <w:rFonts w:ascii="Century Gothic" w:cs="Century Gothic" w:hAnsi="Century Gothic" w:eastAsia="Century Gothic"/>
        </w:rPr>
      </w:pPr>
    </w:p>
    <w:p>
      <w:pPr>
        <w:pStyle w:val="Body"/>
        <w:rPr>
          <w:rFonts w:ascii="Century Gothic" w:cs="Century Gothic" w:hAnsi="Century Gothic" w:eastAsia="Century Gothic"/>
        </w:rPr>
      </w:pPr>
    </w:p>
    <w:p>
      <w:pPr>
        <w:pStyle w:val="Body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u w:val="single"/>
          <w:rtl w:val="0"/>
        </w:rPr>
        <w:t>LAND USE</w:t>
      </w:r>
    </w:p>
    <w:p>
      <w:pPr>
        <w:pStyle w:val="Body"/>
        <w:rPr>
          <w:rFonts w:ascii="Century Gothic" w:cs="Century Gothic" w:hAnsi="Century Gothic" w:eastAsia="Century Gothic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The lots in Amik Kil Ha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 xml:space="preserve">shall be used for single-family residential purposes only.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Rental of any residence is allowed provided any rental agreement must obligate the renter or tenant to abide by the covenants.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No owner shall use their property or permit its use in such manner or for such purpose as shall cause a nuisance or hazard to the occupier of any other property.</w:t>
      </w:r>
    </w:p>
    <w:p>
      <w:pPr>
        <w:pStyle w:val="Body"/>
        <w:rPr>
          <w:rFonts w:ascii="Century Gothic" w:cs="Century Gothic" w:hAnsi="Century Gothic" w:eastAsia="Century Gothic"/>
        </w:rPr>
      </w:pPr>
    </w:p>
    <w:p>
      <w:pPr>
        <w:pStyle w:val="Body"/>
        <w:rPr>
          <w:rFonts w:ascii="Century Gothic" w:cs="Century Gothic" w:hAnsi="Century Gothic" w:eastAsia="Century Gothic"/>
          <w:u w:val="single"/>
        </w:rPr>
      </w:pPr>
    </w:p>
    <w:p>
      <w:pPr>
        <w:pStyle w:val="Body"/>
        <w:rPr>
          <w:rFonts w:ascii="Century Gothic" w:cs="Century Gothic" w:hAnsi="Century Gothic" w:eastAsia="Century Gothic"/>
          <w:u w:val="single"/>
        </w:rPr>
      </w:pPr>
      <w:r>
        <w:rPr>
          <w:rFonts w:ascii="Century Gothic" w:hAnsi="Century Gothic"/>
          <w:u w:val="single"/>
          <w:rtl w:val="0"/>
        </w:rPr>
        <w:t>BUILDING RESTRICTIONS</w:t>
      </w:r>
    </w:p>
    <w:p>
      <w:pPr>
        <w:pStyle w:val="Body"/>
        <w:rPr>
          <w:rFonts w:ascii="Century Gothic" w:cs="Century Gothic" w:hAnsi="Century Gothic" w:eastAsia="Century Gothic"/>
          <w:u w:val="single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Construction of residences shall be carried out with the approval of all relevant government agencies. 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No residence shall be erected on any lot which is less than 3</w:t>
      </w:r>
      <w:r>
        <w:rPr>
          <w:rtl w:val="0"/>
          <w:lang w:val="en-US"/>
        </w:rPr>
        <w:t>0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>from any road or canal and less than 10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>from any side yard lot lines.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Residences must be constructed no less than 2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>above grade, must be no taller than 35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>at any point and must be not more than 2 levels.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Any caretaker residence shall not exceed one level, shall be not taller than 20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 xml:space="preserve">at any point and shall not exceed </w:t>
      </w:r>
      <w:r>
        <w:rPr>
          <w:rtl w:val="0"/>
          <w:lang w:val="en-US"/>
        </w:rPr>
        <w:t>6</w:t>
      </w:r>
      <w:r>
        <w:rPr>
          <w:rtl w:val="0"/>
          <w:lang w:val="en-US"/>
        </w:rPr>
        <w:t>00 sq. ft.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No building shall be less that </w:t>
      </w:r>
      <w:r>
        <w:rPr>
          <w:rtl w:val="0"/>
          <w:lang w:val="en-US"/>
        </w:rPr>
        <w:t>3</w:t>
      </w:r>
      <w:r>
        <w:rPr>
          <w:rtl w:val="0"/>
          <w:lang w:val="en-US"/>
        </w:rPr>
        <w:t>00 square feet in area and no more than two residences may be constructed on any one lot. Total square footage of all buildings shall not exceed 30% of the area of the lot on which they are constructed.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Construction of </w:t>
      </w:r>
      <w:r>
        <w:rPr>
          <w:rtl w:val="0"/>
          <w:lang w:val="en-US"/>
        </w:rPr>
        <w:t>residences</w:t>
      </w:r>
      <w:r>
        <w:rPr>
          <w:rtl w:val="0"/>
          <w:lang w:val="en-US"/>
        </w:rPr>
        <w:t xml:space="preserve"> must be completed within 2 years of the original </w:t>
      </w:r>
      <w:r>
        <w:rPr>
          <w:rtl w:val="0"/>
          <w:lang w:val="en-US"/>
        </w:rPr>
        <w:t xml:space="preserve">date of </w:t>
      </w:r>
      <w:r>
        <w:rPr>
          <w:rtl w:val="0"/>
          <w:lang w:val="en-US"/>
        </w:rPr>
        <w:t>purchase of the property.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Should an owner fail to complete construction of a home within two years of the original purchase date, the owner shall pay to Plantation Palms Limited US$5000 no later than 30 days after the second anniversary of the original purchase date. 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On each successive anniversary date, </w:t>
      </w:r>
      <w:r>
        <w:rPr>
          <w:rtl w:val="0"/>
          <w:lang w:val="en-US"/>
        </w:rPr>
        <w:t>a further US</w:t>
      </w:r>
      <w:r>
        <w:rPr>
          <w:rtl w:val="0"/>
          <w:lang w:val="en-US"/>
        </w:rPr>
        <w:t xml:space="preserve">$5000 </w:t>
      </w:r>
      <w:r>
        <w:rPr>
          <w:rtl w:val="0"/>
          <w:lang w:val="en-US"/>
        </w:rPr>
        <w:t>shall</w:t>
      </w:r>
      <w:r>
        <w:rPr>
          <w:rtl w:val="0"/>
          <w:lang w:val="en-US"/>
        </w:rPr>
        <w:t xml:space="preserve"> be paid</w:t>
      </w:r>
      <w:r>
        <w:rPr>
          <w:rtl w:val="0"/>
          <w:lang w:val="en-US"/>
        </w:rPr>
        <w:t xml:space="preserve"> to Plantation Palms Limited</w:t>
      </w:r>
      <w:r>
        <w:rPr>
          <w:rtl w:val="0"/>
          <w:lang w:val="en-US"/>
        </w:rPr>
        <w:t xml:space="preserve"> as long as </w:t>
      </w:r>
      <w:r>
        <w:rPr>
          <w:rtl w:val="0"/>
          <w:lang w:val="en-US"/>
        </w:rPr>
        <w:t>the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construction of a </w:t>
      </w:r>
      <w:r>
        <w:rPr>
          <w:rtl w:val="0"/>
          <w:lang w:val="en-US"/>
        </w:rPr>
        <w:t>residence has not been co</w:t>
      </w:r>
      <w:r>
        <w:rPr>
          <w:rtl w:val="0"/>
          <w:lang w:val="en-US"/>
        </w:rPr>
        <w:t>mpleted</w:t>
      </w:r>
      <w:r>
        <w:rPr>
          <w:rtl w:val="0"/>
          <w:lang w:val="en-US"/>
        </w:rPr>
        <w:t>.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No walls or fences other than </w:t>
      </w:r>
      <w:r>
        <w:rPr>
          <w:rtl w:val="0"/>
          <w:lang w:val="en-US"/>
        </w:rPr>
        <w:t xml:space="preserve">of </w:t>
      </w:r>
      <w:r>
        <w:rPr>
          <w:rtl w:val="0"/>
          <w:lang w:val="en-US"/>
        </w:rPr>
        <w:t>wood, bamboo or foliage shall be c</w:t>
      </w:r>
      <w:r>
        <w:rPr>
          <w:rtl w:val="0"/>
          <w:lang w:val="en-US"/>
        </w:rPr>
        <w:t>reated</w:t>
      </w:r>
      <w:r>
        <w:rPr>
          <w:rtl w:val="0"/>
          <w:lang w:val="en-US"/>
        </w:rPr>
        <w:t xml:space="preserve"> to delineate lot boundaries and they shall be </w:t>
      </w:r>
      <w:r>
        <w:rPr>
          <w:rtl w:val="0"/>
          <w:lang w:val="en-US"/>
        </w:rPr>
        <w:t xml:space="preserve">constructed or </w:t>
      </w:r>
      <w:r>
        <w:rPr>
          <w:rtl w:val="0"/>
          <w:lang w:val="en-US"/>
        </w:rPr>
        <w:t>maintained so as to be no taller than 5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>above grade.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No docks shall be constructed so as to protrude more than 2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 into any canal from the lot boundary and must be constructed in such manner as to prevent erosion of the canal bank. 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 Any excavation from a canal into a lot must be made in such a manner and with such precautions so as to prevent erosion of the canal bank snd the banks of the excavation.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No docks shall be constructed into the lagoon </w:t>
      </w:r>
      <w:r>
        <w:rPr>
          <w:rtl w:val="0"/>
          <w:lang w:val="en-US"/>
        </w:rPr>
        <w:t xml:space="preserve">nor excavations made from the lagoon into a lot </w:t>
      </w:r>
      <w:r>
        <w:rPr>
          <w:rtl w:val="0"/>
          <w:lang w:val="en-US"/>
        </w:rPr>
        <w:t xml:space="preserve">except on lots 1234, 1253 and 1265.  </w:t>
      </w:r>
    </w:p>
    <w:p>
      <w:pPr>
        <w:pStyle w:val="Body"/>
        <w:rPr>
          <w:rFonts w:ascii="Century Gothic" w:cs="Century Gothic" w:hAnsi="Century Gothic" w:eastAsia="Century Gothic"/>
        </w:rPr>
      </w:pPr>
    </w:p>
    <w:p>
      <w:pPr>
        <w:pStyle w:val="Body"/>
        <w:rPr>
          <w:rFonts w:ascii="Century Gothic" w:cs="Century Gothic" w:hAnsi="Century Gothic" w:eastAsia="Century Gothic"/>
        </w:rPr>
      </w:pPr>
    </w:p>
    <w:p>
      <w:pPr>
        <w:pStyle w:val="Body"/>
        <w:rPr>
          <w:rFonts w:ascii="Century Gothic" w:cs="Century Gothic" w:hAnsi="Century Gothic" w:eastAsia="Century Gothic"/>
          <w:u w:val="single"/>
        </w:rPr>
      </w:pPr>
      <w:r>
        <w:rPr>
          <w:rFonts w:ascii="Century Gothic" w:hAnsi="Century Gothic"/>
          <w:u w:val="single"/>
          <w:rtl w:val="0"/>
        </w:rPr>
        <w:t>WASTE DISPOSAL</w:t>
      </w:r>
    </w:p>
    <w:p>
      <w:pPr>
        <w:pStyle w:val="Body"/>
        <w:rPr>
          <w:rFonts w:ascii="Century Gothic" w:cs="Century Gothic" w:hAnsi="Century Gothic" w:eastAsia="Century Gothic"/>
          <w:u w:val="single"/>
        </w:rPr>
      </w:pP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All waste disposal systems shall comply with the requirements of the Belize Departments of the Environment and Health. 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Owners must not allow any household grey/waste water to drain into any natural drainage system or water body or surrounding environs.  Such drainage must be directed to an appropriately designed leach field.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Owners must avoid contamination of the surface and ground water through the disposal of grease or oil products or any other such substance onto the surface of the lot.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Owners must have waste collection bins designed to prevent rummaging by feral animals.  All garbage must be bagged.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No owner may dispose of garbage or waste except by containerizing and dumping the same at a public refuse disposal site.    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Owners must not burn household or construction waste on any residence or park site. </w:t>
      </w:r>
    </w:p>
    <w:p>
      <w:pPr>
        <w:pStyle w:val="Body"/>
        <w:rPr>
          <w:rFonts w:ascii="Century Gothic" w:cs="Century Gothic" w:hAnsi="Century Gothic" w:eastAsia="Century Gothic"/>
        </w:rPr>
      </w:pPr>
    </w:p>
    <w:p>
      <w:pPr>
        <w:pStyle w:val="Body"/>
        <w:rPr>
          <w:rFonts w:ascii="Century Gothic" w:cs="Century Gothic" w:hAnsi="Century Gothic" w:eastAsia="Century Gothic"/>
          <w:u w:val="single"/>
        </w:rPr>
      </w:pPr>
    </w:p>
    <w:p>
      <w:pPr>
        <w:pStyle w:val="Body"/>
        <w:rPr>
          <w:rFonts w:ascii="Century Gothic" w:cs="Century Gothic" w:hAnsi="Century Gothic" w:eastAsia="Century Gothic"/>
          <w:u w:val="single"/>
        </w:rPr>
      </w:pPr>
    </w:p>
    <w:p>
      <w:pPr>
        <w:pStyle w:val="Body"/>
        <w:rPr>
          <w:rFonts w:ascii="Century Gothic" w:cs="Century Gothic" w:hAnsi="Century Gothic" w:eastAsia="Century Gothic"/>
          <w:u w:val="single"/>
        </w:rPr>
      </w:pPr>
    </w:p>
    <w:p>
      <w:pPr>
        <w:pStyle w:val="Body"/>
        <w:rPr>
          <w:rFonts w:ascii="Century Gothic" w:cs="Century Gothic" w:hAnsi="Century Gothic" w:eastAsia="Century Gothic"/>
          <w:u w:val="single"/>
        </w:rPr>
      </w:pPr>
    </w:p>
    <w:p>
      <w:pPr>
        <w:pStyle w:val="Body"/>
        <w:rPr>
          <w:rFonts w:ascii="Century Gothic" w:cs="Century Gothic" w:hAnsi="Century Gothic" w:eastAsia="Century Gothic"/>
          <w:u w:val="single"/>
        </w:rPr>
      </w:pPr>
    </w:p>
    <w:p>
      <w:pPr>
        <w:pStyle w:val="Body"/>
        <w:rPr>
          <w:rFonts w:ascii="Century Gothic" w:cs="Century Gothic" w:hAnsi="Century Gothic" w:eastAsia="Century Gothic"/>
          <w:u w:val="single"/>
        </w:rPr>
      </w:pPr>
      <w:r>
        <w:rPr>
          <w:rFonts w:ascii="Century Gothic" w:hAnsi="Century Gothic"/>
          <w:u w:val="single"/>
          <w:rtl w:val="0"/>
        </w:rPr>
        <w:t>USAGE OF CANAL SYSTEM</w:t>
      </w:r>
    </w:p>
    <w:p>
      <w:pPr>
        <w:pStyle w:val="Body"/>
        <w:rPr>
          <w:rFonts w:ascii="Century Gothic" w:cs="Century Gothic" w:hAnsi="Century Gothic" w:eastAsia="Century Gothic"/>
        </w:rPr>
      </w:pP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Zero wake rules shall be observed and no vessel shall travel at more than 5 MPH in any canal area or in the lagoon within 50 feet of canal entrances. </w:t>
      </w:r>
    </w:p>
    <w:p>
      <w:pPr>
        <w:pStyle w:val="List Paragraph"/>
        <w:rPr>
          <w:rFonts w:ascii="Century Gothic" w:cs="Century Gothic" w:hAnsi="Century Gothic" w:eastAsia="Century Gothic"/>
        </w:rPr>
      </w:pPr>
    </w:p>
    <w:p>
      <w:pPr>
        <w:pStyle w:val="List Paragraph"/>
        <w:rPr>
          <w:rFonts w:ascii="Century Gothic" w:cs="Century Gothic" w:hAnsi="Century Gothic" w:eastAsia="Century Gothic"/>
        </w:rPr>
      </w:pPr>
    </w:p>
    <w:p>
      <w:pPr>
        <w:pStyle w:val="Body"/>
        <w:rPr>
          <w:rFonts w:ascii="Century Gothic" w:cs="Century Gothic" w:hAnsi="Century Gothic" w:eastAsia="Century Gothic"/>
          <w:u w:val="single"/>
        </w:rPr>
      </w:pPr>
      <w:r>
        <w:rPr>
          <w:rFonts w:ascii="Century Gothic" w:hAnsi="Century Gothic"/>
          <w:u w:val="single"/>
          <w:rtl w:val="0"/>
        </w:rPr>
        <w:t>PETS</w:t>
      </w:r>
    </w:p>
    <w:p>
      <w:pPr>
        <w:pStyle w:val="Body"/>
        <w:rPr>
          <w:rFonts w:ascii="Century Gothic" w:cs="Century Gothic" w:hAnsi="Century Gothic" w:eastAsia="Century Gothic"/>
          <w:u w:val="single"/>
        </w:rPr>
      </w:pPr>
    </w:p>
    <w:p>
      <w:pPr>
        <w:pStyle w:val="List Paragraph"/>
        <w:numPr>
          <w:ilvl w:val="0"/>
          <w:numId w:val="10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Only domestic animals are permitted and no owner may keep more than 3 pets such as dogs, cats or birds.</w:t>
      </w:r>
    </w:p>
    <w:p>
      <w:pPr>
        <w:pStyle w:val="List Paragraph"/>
        <w:numPr>
          <w:ilvl w:val="0"/>
          <w:numId w:val="10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Owners must control pets at all times while outdoors.</w:t>
      </w:r>
    </w:p>
    <w:p>
      <w:pPr>
        <w:pStyle w:val="List Paragraph"/>
        <w:numPr>
          <w:ilvl w:val="0"/>
          <w:numId w:val="10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No chain link dog runs are allowed.</w:t>
      </w:r>
    </w:p>
    <w:p>
      <w:pPr>
        <w:pStyle w:val="Body"/>
        <w:rPr>
          <w:rFonts w:ascii="Century Gothic" w:cs="Century Gothic" w:hAnsi="Century Gothic" w:eastAsia="Century Gothic"/>
        </w:rPr>
      </w:pPr>
    </w:p>
    <w:p>
      <w:pPr>
        <w:pStyle w:val="Body"/>
        <w:rPr>
          <w:rFonts w:ascii="Century Gothic" w:cs="Century Gothic" w:hAnsi="Century Gothic" w:eastAsia="Century Gothic"/>
        </w:rPr>
      </w:pPr>
    </w:p>
    <w:p>
      <w:pPr>
        <w:pStyle w:val="Body"/>
        <w:rPr>
          <w:rFonts w:ascii="Century Gothic" w:cs="Century Gothic" w:hAnsi="Century Gothic" w:eastAsia="Century Gothic"/>
          <w:u w:val="single"/>
        </w:rPr>
      </w:pPr>
      <w:r>
        <w:rPr>
          <w:rFonts w:ascii="Century Gothic" w:hAnsi="Century Gothic"/>
          <w:u w:val="single"/>
          <w:rtl w:val="0"/>
        </w:rPr>
        <w:t>GENERAL</w:t>
      </w:r>
    </w:p>
    <w:p>
      <w:pPr>
        <w:pStyle w:val="Body"/>
        <w:rPr>
          <w:rFonts w:ascii="Century Gothic" w:cs="Century Gothic" w:hAnsi="Century Gothic" w:eastAsia="Century Gothic"/>
          <w:u w:val="single"/>
        </w:rPr>
      </w:pPr>
    </w:p>
    <w:p>
      <w:pPr>
        <w:pStyle w:val="List Paragraph"/>
        <w:numPr>
          <w:ilvl w:val="0"/>
          <w:numId w:val="1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All buildings and property shall be kept in good repair and free of debris, stored goods or vehicles except currently licensed non-commercial vehicles.  On site burial of any waste shall not be permitted on any lot.</w:t>
      </w:r>
    </w:p>
    <w:p>
      <w:pPr>
        <w:pStyle w:val="List Paragraph"/>
        <w:numPr>
          <w:ilvl w:val="0"/>
          <w:numId w:val="1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No vehicle shall be parked on any common roadway at any time</w:t>
      </w:r>
      <w:r>
        <w:rPr>
          <w:rtl w:val="0"/>
          <w:lang w:val="en-US"/>
        </w:rPr>
        <w:t xml:space="preserve"> for longer than 1 week.</w:t>
      </w:r>
    </w:p>
    <w:p>
      <w:pPr>
        <w:pStyle w:val="List Paragraph"/>
        <w:numPr>
          <w:ilvl w:val="0"/>
          <w:numId w:val="1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No owner may generate their own power except through wind or solar systems, or in emergency situations through gas generators.  Any gas generator must be located in a sound proof container.</w:t>
      </w:r>
    </w:p>
    <w:p>
      <w:pPr>
        <w:pStyle w:val="List Paragraph"/>
        <w:numPr>
          <w:ilvl w:val="0"/>
          <w:numId w:val="1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All electricity delivery systems from the road side lot line to any structure on the lot must be underground.  </w:t>
      </w:r>
    </w:p>
    <w:p>
      <w:pPr>
        <w:pStyle w:val="List Paragraph"/>
        <w:numPr>
          <w:ilvl w:val="0"/>
          <w:numId w:val="1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Each owner shall cause a water catchment tank holding at least 1000 gallons per bedroom to be constructed, upon commencement of building on the lot.</w:t>
      </w:r>
    </w:p>
    <w:p>
      <w:pPr>
        <w:pStyle w:val="Body"/>
        <w:rPr>
          <w:rFonts w:ascii="Century Gothic" w:cs="Century Gothic" w:hAnsi="Century Gothic" w:eastAsia="Century Gothic"/>
        </w:rPr>
      </w:pPr>
    </w:p>
    <w:p>
      <w:pPr>
        <w:pStyle w:val="Body"/>
        <w:rPr>
          <w:rFonts w:ascii="Century Gothic" w:cs="Century Gothic" w:hAnsi="Century Gothic" w:eastAsia="Century Gothic"/>
        </w:rPr>
      </w:pPr>
    </w:p>
    <w:p>
      <w:pPr>
        <w:pStyle w:val="Body"/>
        <w:rPr>
          <w:rFonts w:ascii="Century Gothic" w:cs="Century Gothic" w:hAnsi="Century Gothic" w:eastAsia="Century Gothic"/>
          <w:u w:val="single"/>
        </w:rPr>
      </w:pPr>
      <w:r>
        <w:rPr>
          <w:rFonts w:ascii="Century Gothic" w:hAnsi="Century Gothic"/>
          <w:u w:val="single"/>
          <w:rtl w:val="0"/>
        </w:rPr>
        <w:t>TRANSFER OF LAND</w:t>
      </w:r>
    </w:p>
    <w:p>
      <w:pPr>
        <w:pStyle w:val="Body"/>
        <w:rPr>
          <w:rFonts w:ascii="Century Gothic" w:cs="Century Gothic" w:hAnsi="Century Gothic" w:eastAsia="Century Gothic"/>
          <w:u w:val="single"/>
        </w:rPr>
      </w:pPr>
    </w:p>
    <w:p>
      <w:pPr>
        <w:pStyle w:val="List Paragraph"/>
        <w:numPr>
          <w:ilvl w:val="0"/>
          <w:numId w:val="14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These covenants shall be binding on all future owners of the subject property.  </w:t>
      </w:r>
    </w:p>
    <w:p>
      <w:pPr>
        <w:pStyle w:val="Body"/>
        <w:rPr>
          <w:rFonts w:ascii="Century Gothic" w:cs="Century Gothic" w:hAnsi="Century Gothic" w:eastAsia="Century Gothic"/>
        </w:rPr>
      </w:pPr>
    </w:p>
    <w:p>
      <w:pPr>
        <w:pStyle w:val="Body"/>
        <w:rPr>
          <w:rFonts w:ascii="Century Gothic" w:cs="Century Gothic" w:hAnsi="Century Gothic" w:eastAsia="Century Gothic"/>
        </w:rPr>
      </w:pPr>
    </w:p>
    <w:p>
      <w:pPr>
        <w:pStyle w:val="Body"/>
        <w:rPr>
          <w:rFonts w:ascii="Century Gothic" w:cs="Century Gothic" w:hAnsi="Century Gothic" w:eastAsia="Century Gothic"/>
          <w:u w:val="single"/>
        </w:rPr>
      </w:pPr>
      <w:r>
        <w:rPr>
          <w:rFonts w:ascii="Century Gothic" w:hAnsi="Century Gothic"/>
          <w:u w:val="single"/>
          <w:rtl w:val="0"/>
        </w:rPr>
        <w:t>ENFORCEMENT OF COVENANTS</w:t>
      </w:r>
    </w:p>
    <w:p>
      <w:pPr>
        <w:pStyle w:val="Body"/>
        <w:rPr>
          <w:rFonts w:ascii="Century Gothic" w:cs="Century Gothic" w:hAnsi="Century Gothic" w:eastAsia="Century Gothic"/>
          <w:u w:val="single"/>
        </w:rPr>
      </w:pPr>
    </w:p>
    <w:p>
      <w:pPr>
        <w:pStyle w:val="List Paragraph"/>
        <w:numPr>
          <w:ilvl w:val="0"/>
          <w:numId w:val="16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If these covenants need to be legally enforced due to a lot-owner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non-compliance, all reasonable legal fees and costs shall be paid by the losing party.</w:t>
      </w:r>
    </w:p>
    <w:p>
      <w:pPr>
        <w:pStyle w:val="List Paragraph"/>
        <w:numPr>
          <w:ilvl w:val="0"/>
          <w:numId w:val="16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Any failure to enforce an action based on a breach of any of these covenants does not constitute an acceptance of such breach.</w:t>
      </w:r>
    </w:p>
    <w:p>
      <w:pPr>
        <w:pStyle w:val="Body"/>
        <w:rPr>
          <w:rFonts w:ascii="Century Gothic" w:cs="Century Gothic" w:hAnsi="Century Gothic" w:eastAsia="Century Gothic"/>
        </w:rPr>
      </w:pPr>
    </w:p>
    <w:p>
      <w:pPr>
        <w:pStyle w:val="Body"/>
        <w:rPr>
          <w:rFonts w:ascii="Century Gothic" w:cs="Century Gothic" w:hAnsi="Century Gothic" w:eastAsia="Century Gothic"/>
        </w:rPr>
      </w:pPr>
    </w:p>
    <w:p>
      <w:pPr>
        <w:pStyle w:val="Body"/>
        <w:rPr>
          <w:rFonts w:ascii="Century Gothic" w:cs="Century Gothic" w:hAnsi="Century Gothic" w:eastAsia="Century Gothic"/>
        </w:rPr>
      </w:pPr>
    </w:p>
    <w:p>
      <w:pPr>
        <w:pStyle w:val="Body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>March 1</w:t>
      </w:r>
      <w:r>
        <w:rPr>
          <w:rFonts w:ascii="Century Gothic" w:hAnsi="Century Gothic"/>
          <w:rtl w:val="0"/>
          <w:lang w:val="en-US"/>
        </w:rPr>
        <w:t>, 2015</w:t>
      </w:r>
    </w:p>
    <w:p>
      <w:pPr>
        <w:pStyle w:val="Body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s-ES_tradnl"/>
        </w:rPr>
        <w:t>Placencia, Belize.</w:t>
      </w:r>
    </w:p>
    <w:p>
      <w:pPr>
        <w:pStyle w:val="Body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 xml:space="preserve">Plantation Palms </w:t>
      </w:r>
      <w:r>
        <w:rPr>
          <w:rFonts w:ascii="Century Gothic" w:hAnsi="Century Gothic"/>
          <w:rtl w:val="0"/>
          <w:lang w:val="en-US"/>
        </w:rPr>
        <w:t>Limited</w:t>
      </w:r>
    </w:p>
    <w:p>
      <w:pPr>
        <w:pStyle w:val="Body"/>
        <w:rPr>
          <w:rFonts w:ascii="Century Gothic" w:cs="Century Gothic" w:hAnsi="Century Gothic" w:eastAsia="Century Gothic"/>
        </w:rPr>
      </w:pPr>
    </w:p>
    <w:p>
      <w:pPr>
        <w:pStyle w:val="Body"/>
        <w:rPr>
          <w:rFonts w:ascii="Century Gothic" w:cs="Century Gothic" w:hAnsi="Century Gothic" w:eastAsia="Century Gothic"/>
        </w:rPr>
      </w:pPr>
    </w:p>
    <w:p>
      <w:pPr>
        <w:pStyle w:val="Body"/>
        <w:rPr>
          <w:rFonts w:ascii="Century Gothic" w:cs="Century Gothic" w:hAnsi="Century Gothic" w:eastAsia="Century Gothic"/>
        </w:rPr>
      </w:pPr>
    </w:p>
    <w:p>
      <w:pPr>
        <w:pStyle w:val="Body"/>
        <w:rPr>
          <w:rFonts w:ascii="Century Gothic" w:cs="Century Gothic" w:hAnsi="Century Gothic" w:eastAsia="Century Gothic"/>
          <w:u w:val="single"/>
        </w:rPr>
      </w:pPr>
    </w:p>
    <w:p>
      <w:pPr>
        <w:pStyle w:val="Body"/>
        <w:rPr>
          <w:rFonts w:ascii="Century Gothic" w:cs="Century Gothic" w:hAnsi="Century Gothic" w:eastAsia="Century Gothic"/>
          <w:u w:val="single"/>
        </w:rPr>
      </w:pPr>
    </w:p>
    <w:p>
      <w:pPr>
        <w:pStyle w:val="List Paragraph"/>
      </w:pPr>
      <w:r>
        <w:rPr>
          <w:rFonts w:ascii="Century Gothic" w:cs="Century Gothic" w:hAnsi="Century Gothic" w:eastAsia="Century Gothic"/>
          <w:u w:val="single"/>
        </w:rPr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6"/>
  </w:abstractNum>
  <w:abstractNum w:abstractNumId="11">
    <w:multiLevelType w:val="hybridMultilevel"/>
    <w:styleLink w:val="Imported Style 6"/>
    <w:lvl w:ilvl="0">
      <w:start w:val="1"/>
      <w:numFmt w:val="decimal"/>
      <w:suff w:val="tab"/>
      <w:lvlText w:val="%1.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ed Style 7"/>
  </w:abstractNum>
  <w:abstractNum w:abstractNumId="13">
    <w:multiLevelType w:val="hybridMultilevel"/>
    <w:styleLink w:val="Imported Style 7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mported Style 8"/>
  </w:abstractNum>
  <w:abstractNum w:abstractNumId="15">
    <w:multiLevelType w:val="hybridMultilevel"/>
    <w:styleLink w:val="Imported Style 8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  <w:style w:type="numbering" w:styleId="Imported Style 5">
    <w:name w:val="Imported Style 5"/>
    <w:pPr>
      <w:numPr>
        <w:numId w:val="9"/>
      </w:numPr>
    </w:pPr>
  </w:style>
  <w:style w:type="numbering" w:styleId="Imported Style 6">
    <w:name w:val="Imported Style 6"/>
    <w:pPr>
      <w:numPr>
        <w:numId w:val="11"/>
      </w:numPr>
    </w:pPr>
  </w:style>
  <w:style w:type="numbering" w:styleId="Imported Style 7">
    <w:name w:val="Imported Style 7"/>
    <w:pPr>
      <w:numPr>
        <w:numId w:val="13"/>
      </w:numPr>
    </w:pPr>
  </w:style>
  <w:style w:type="numbering" w:styleId="Imported Style 8">
    <w:name w:val="Imported Style 8"/>
    <w:pPr>
      <w:numPr>
        <w:numId w:val="1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